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4A" w:rsidRDefault="00F5134A" w:rsidP="00F5134A">
      <w:pPr>
        <w:pStyle w:val="Default"/>
        <w:jc w:val="center"/>
        <w:rPr>
          <w:b/>
        </w:rPr>
      </w:pPr>
      <w:r w:rsidRPr="00F5134A">
        <w:rPr>
          <w:b/>
        </w:rPr>
        <w:t>Crown Institute of Higher Education</w:t>
      </w:r>
    </w:p>
    <w:p w:rsidR="00F5134A" w:rsidRPr="00F5134A" w:rsidRDefault="00F5134A" w:rsidP="00F5134A">
      <w:pPr>
        <w:pStyle w:val="Default"/>
        <w:jc w:val="center"/>
      </w:pPr>
      <w:r w:rsidRPr="00F5134A">
        <w:t xml:space="preserve">BUS104 </w:t>
      </w:r>
    </w:p>
    <w:p w:rsidR="00F5134A" w:rsidRPr="00F5134A" w:rsidRDefault="00A659D3" w:rsidP="00F5134A">
      <w:pPr>
        <w:pStyle w:val="Default"/>
        <w:jc w:val="center"/>
      </w:pPr>
      <w:r>
        <w:t>Week 1</w:t>
      </w:r>
      <w:r w:rsidR="00F5134A" w:rsidRPr="00F5134A">
        <w:t xml:space="preserve"> - workshop discussion/practice questions</w:t>
      </w:r>
    </w:p>
    <w:p w:rsidR="00F5134A" w:rsidRPr="00F5134A" w:rsidRDefault="00F5134A" w:rsidP="00F5134A">
      <w:pPr>
        <w:pStyle w:val="Default"/>
        <w:jc w:val="center"/>
      </w:pPr>
    </w:p>
    <w:p w:rsidR="000D45C5" w:rsidRDefault="000D45C5" w:rsidP="00F5134A">
      <w:pPr>
        <w:rPr>
          <w:rFonts w:ascii="Times New Roman" w:hAnsi="Times New Roman" w:cs="Times New Roman"/>
          <w:sz w:val="24"/>
          <w:szCs w:val="24"/>
        </w:rPr>
      </w:pPr>
      <w:r>
        <w:rPr>
          <w:rFonts w:ascii="Times New Roman" w:hAnsi="Times New Roman" w:cs="Times New Roman"/>
          <w:sz w:val="24"/>
          <w:szCs w:val="24"/>
        </w:rPr>
        <w:t>Introduction</w:t>
      </w:r>
    </w:p>
    <w:p w:rsidR="008B2BA9" w:rsidRPr="00F5134A" w:rsidRDefault="00F5134A" w:rsidP="00F5134A">
      <w:pPr>
        <w:rPr>
          <w:rFonts w:ascii="Times New Roman" w:hAnsi="Times New Roman" w:cs="Times New Roman"/>
          <w:sz w:val="24"/>
          <w:szCs w:val="24"/>
        </w:rPr>
      </w:pPr>
      <w:r w:rsidRPr="00F5134A">
        <w:rPr>
          <w:rFonts w:ascii="Times New Roman" w:hAnsi="Times New Roman" w:cs="Times New Roman"/>
          <w:sz w:val="24"/>
          <w:szCs w:val="24"/>
        </w:rPr>
        <w:t>A recently released report suggests that mobile phone addiction is costing Australians $560 million a year in bill “blow outs”. The following data represents the “bill shocks” (correct to the nearest dollar) over a 12 month period of a random sample of 45 mobile phone users whose annual charges exceeded what they expected</w:t>
      </w:r>
    </w:p>
    <w:p w:rsidR="00F5134A" w:rsidRPr="00F5134A" w:rsidRDefault="00F5134A" w:rsidP="00F5134A">
      <w:pPr>
        <w:pStyle w:val="Default"/>
        <w:rPr>
          <w:rFonts w:ascii="Times New Roman" w:hAnsi="Times New Roman" w:cs="Times New Roman"/>
        </w:rPr>
      </w:pPr>
    </w:p>
    <w:tbl>
      <w:tblPr>
        <w:tblW w:w="0" w:type="auto"/>
        <w:tblBorders>
          <w:top w:val="nil"/>
          <w:left w:val="nil"/>
          <w:bottom w:val="nil"/>
          <w:right w:val="nil"/>
        </w:tblBorders>
        <w:tblLayout w:type="fixed"/>
        <w:tblLook w:val="0000"/>
      </w:tblPr>
      <w:tblGrid>
        <w:gridCol w:w="1468"/>
        <w:gridCol w:w="1468"/>
        <w:gridCol w:w="1468"/>
        <w:gridCol w:w="1468"/>
        <w:gridCol w:w="1468"/>
      </w:tblGrid>
      <w:tr w:rsidR="00F5134A" w:rsidRPr="00F5134A">
        <w:trPr>
          <w:trHeight w:val="103"/>
        </w:trPr>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482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608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428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619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328 </w:t>
            </w:r>
          </w:p>
        </w:tc>
      </w:tr>
      <w:tr w:rsidR="00F5134A" w:rsidRPr="00F5134A">
        <w:trPr>
          <w:trHeight w:val="104"/>
        </w:trPr>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b/>
                <w:bCs/>
              </w:rPr>
              <w:t xml:space="preserve">695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368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594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299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547 </w:t>
            </w:r>
          </w:p>
        </w:tc>
      </w:tr>
      <w:tr w:rsidR="00F5134A" w:rsidRPr="00F5134A">
        <w:trPr>
          <w:trHeight w:val="103"/>
        </w:trPr>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137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311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222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447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88 </w:t>
            </w:r>
          </w:p>
        </w:tc>
      </w:tr>
      <w:tr w:rsidR="00F5134A" w:rsidRPr="00F5134A">
        <w:trPr>
          <w:trHeight w:val="103"/>
        </w:trPr>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533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692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101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358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239 </w:t>
            </w:r>
          </w:p>
        </w:tc>
      </w:tr>
      <w:tr w:rsidR="00F5134A" w:rsidRPr="00F5134A">
        <w:trPr>
          <w:trHeight w:val="103"/>
        </w:trPr>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58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114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561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265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166 </w:t>
            </w:r>
          </w:p>
        </w:tc>
      </w:tr>
      <w:tr w:rsidR="00F5134A" w:rsidRPr="00F5134A">
        <w:trPr>
          <w:trHeight w:val="104"/>
        </w:trPr>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691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99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264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b/>
                <w:bCs/>
              </w:rPr>
              <w:t xml:space="preserve">19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468 </w:t>
            </w:r>
          </w:p>
        </w:tc>
      </w:tr>
      <w:tr w:rsidR="00F5134A" w:rsidRPr="00F5134A">
        <w:trPr>
          <w:trHeight w:val="103"/>
        </w:trPr>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526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347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98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193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544 </w:t>
            </w:r>
          </w:p>
        </w:tc>
      </w:tr>
      <w:tr w:rsidR="00F5134A" w:rsidRPr="00F5134A">
        <w:trPr>
          <w:trHeight w:val="103"/>
        </w:trPr>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253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333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276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406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659 </w:t>
            </w:r>
          </w:p>
        </w:tc>
      </w:tr>
      <w:tr w:rsidR="00F5134A" w:rsidRPr="00F5134A">
        <w:trPr>
          <w:trHeight w:val="103"/>
        </w:trPr>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575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23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287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218 </w:t>
            </w:r>
          </w:p>
        </w:tc>
        <w:tc>
          <w:tcPr>
            <w:tcW w:w="1468" w:type="dxa"/>
          </w:tcPr>
          <w:p w:rsidR="00F5134A" w:rsidRPr="00F5134A" w:rsidRDefault="00F5134A">
            <w:pPr>
              <w:pStyle w:val="Default"/>
              <w:rPr>
                <w:rFonts w:ascii="Times New Roman" w:hAnsi="Times New Roman" w:cs="Times New Roman"/>
              </w:rPr>
            </w:pPr>
            <w:r w:rsidRPr="00F5134A">
              <w:rPr>
                <w:rFonts w:ascii="Times New Roman" w:hAnsi="Times New Roman" w:cs="Times New Roman"/>
              </w:rPr>
              <w:t xml:space="preserve">661 </w:t>
            </w:r>
          </w:p>
        </w:tc>
      </w:tr>
    </w:tbl>
    <w:p w:rsidR="00F5134A" w:rsidRPr="00F5134A" w:rsidRDefault="00F5134A" w:rsidP="00F5134A">
      <w:pPr>
        <w:pStyle w:val="Default"/>
        <w:rPr>
          <w:rFonts w:ascii="Times New Roman" w:hAnsi="Times New Roman" w:cs="Times New Roman"/>
        </w:rPr>
      </w:pPr>
    </w:p>
    <w:p w:rsidR="00F5134A" w:rsidRDefault="00F5134A" w:rsidP="00F5134A">
      <w:pPr>
        <w:pStyle w:val="Default"/>
        <w:rPr>
          <w:rFonts w:ascii="Times New Roman" w:hAnsi="Times New Roman" w:cs="Times New Roman"/>
        </w:rPr>
      </w:pPr>
    </w:p>
    <w:p w:rsidR="00F5134A" w:rsidRPr="00F5134A" w:rsidRDefault="00F5134A" w:rsidP="00F5134A">
      <w:pPr>
        <w:pStyle w:val="Default"/>
        <w:rPr>
          <w:rFonts w:ascii="Times New Roman" w:hAnsi="Times New Roman" w:cs="Times New Roman"/>
        </w:rPr>
      </w:pPr>
      <w:r w:rsidRPr="00F5134A">
        <w:rPr>
          <w:rFonts w:ascii="Times New Roman" w:hAnsi="Times New Roman" w:cs="Times New Roman"/>
        </w:rPr>
        <w:t xml:space="preserve">1.  Describe as precisely as possible the variable of interest represented by the above data. What units, if any, are applicable to this variable? </w:t>
      </w:r>
    </w:p>
    <w:p w:rsidR="00F5134A" w:rsidRDefault="00F5134A" w:rsidP="00F5134A">
      <w:pPr>
        <w:rPr>
          <w:rFonts w:ascii="Times New Roman" w:hAnsi="Times New Roman" w:cs="Times New Roman"/>
          <w:sz w:val="24"/>
          <w:szCs w:val="24"/>
        </w:rPr>
      </w:pPr>
    </w:p>
    <w:p w:rsidR="00F5134A" w:rsidRPr="00F5134A" w:rsidRDefault="00F5134A" w:rsidP="00F5134A">
      <w:pPr>
        <w:rPr>
          <w:rFonts w:ascii="Times New Roman" w:hAnsi="Times New Roman" w:cs="Times New Roman"/>
          <w:sz w:val="24"/>
          <w:szCs w:val="24"/>
        </w:rPr>
      </w:pPr>
      <w:r w:rsidRPr="00F5134A">
        <w:rPr>
          <w:rFonts w:ascii="Times New Roman" w:hAnsi="Times New Roman" w:cs="Times New Roman"/>
          <w:sz w:val="24"/>
          <w:szCs w:val="24"/>
        </w:rPr>
        <w:t>2.  Are the data categorical or quantitative? If categorical, are the data nominal or ordinal? If quantitative, are the data continuous or discrete (</w:t>
      </w:r>
      <w:r w:rsidRPr="00F5134A">
        <w:rPr>
          <w:rFonts w:ascii="Times New Roman" w:hAnsi="Times New Roman" w:cs="Times New Roman"/>
          <w:b/>
          <w:bCs/>
          <w:sz w:val="24"/>
          <w:szCs w:val="24"/>
        </w:rPr>
        <w:t>you should distinguish between “theoretically continuous but discrete in practice” and “simply discrete” and briefly explain the reasoning behind your answer</w:t>
      </w:r>
      <w:r w:rsidRPr="00F5134A">
        <w:rPr>
          <w:rFonts w:ascii="Times New Roman" w:hAnsi="Times New Roman" w:cs="Times New Roman"/>
          <w:sz w:val="24"/>
          <w:szCs w:val="24"/>
        </w:rPr>
        <w:t>)? Further, if quantitative, are the data measured on a ratio scale or an interval scale? In relation to your answer to the last question (if appropriate) what are the practical implications of the data being measured on either a ratio or an interval scale (whichever you decided)? How can you most easily decide whether quantitative data are measured on a ratio or an interval scale?</w:t>
      </w:r>
    </w:p>
    <w:p w:rsidR="00F5134A" w:rsidRPr="00F5134A" w:rsidRDefault="00F5134A" w:rsidP="00F5134A">
      <w:pPr>
        <w:pStyle w:val="Default"/>
        <w:rPr>
          <w:rFonts w:ascii="Times New Roman" w:hAnsi="Times New Roman" w:cs="Times New Roman"/>
        </w:rPr>
      </w:pPr>
      <w:r w:rsidRPr="00F5134A">
        <w:rPr>
          <w:rFonts w:ascii="Times New Roman" w:hAnsi="Times New Roman" w:cs="Times New Roman"/>
        </w:rPr>
        <w:t xml:space="preserve">3. The range of values covered by the above data is 695 – 19 = 676 ≈ 700 ($), suggesting that of the order of seven class intervals each of size $100 would be sufficient to encompass/cover the entire data set. </w:t>
      </w:r>
    </w:p>
    <w:p w:rsidR="00F5134A" w:rsidRPr="00F5134A" w:rsidRDefault="00F5134A" w:rsidP="00F5134A">
      <w:pPr>
        <w:pStyle w:val="Default"/>
        <w:rPr>
          <w:rFonts w:ascii="Times New Roman" w:hAnsi="Times New Roman" w:cs="Times New Roman"/>
        </w:rPr>
      </w:pPr>
      <w:r w:rsidRPr="00F5134A">
        <w:rPr>
          <w:rFonts w:ascii="Times New Roman" w:hAnsi="Times New Roman" w:cs="Times New Roman"/>
        </w:rPr>
        <w:t xml:space="preserve">Perform a “tally count” of the data in each of the class intervals 0 – (&lt;100), 100 – (&lt;200), ...., 600 – (&lt;700) and from this count construct a frequency (f) distribution/table for the “bill shock” data. </w:t>
      </w:r>
    </w:p>
    <w:p w:rsidR="00F5134A" w:rsidRPr="00F5134A" w:rsidRDefault="00F5134A" w:rsidP="00F5134A">
      <w:pPr>
        <w:pStyle w:val="Default"/>
        <w:rPr>
          <w:rFonts w:ascii="Times New Roman" w:hAnsi="Times New Roman" w:cs="Times New Roman"/>
        </w:rPr>
      </w:pPr>
    </w:p>
    <w:p w:rsidR="00F5134A" w:rsidRPr="00F5134A" w:rsidRDefault="00F5134A" w:rsidP="00F5134A">
      <w:pPr>
        <w:pStyle w:val="Default"/>
        <w:rPr>
          <w:rFonts w:ascii="Times New Roman" w:hAnsi="Times New Roman" w:cs="Times New Roman"/>
        </w:rPr>
      </w:pPr>
      <w:r w:rsidRPr="00F5134A">
        <w:rPr>
          <w:rFonts w:ascii="Times New Roman" w:hAnsi="Times New Roman" w:cs="Times New Roman"/>
        </w:rPr>
        <w:t>4. Add three more columns to the frequency distribution table and construct a cumulative frequency (</w:t>
      </w:r>
      <w:proofErr w:type="spellStart"/>
      <w:r w:rsidRPr="00F5134A">
        <w:rPr>
          <w:rFonts w:ascii="Times New Roman" w:hAnsi="Times New Roman" w:cs="Times New Roman"/>
        </w:rPr>
        <w:t>cf</w:t>
      </w:r>
      <w:proofErr w:type="spellEnd"/>
      <w:r w:rsidRPr="00F5134A">
        <w:rPr>
          <w:rFonts w:ascii="Times New Roman" w:hAnsi="Times New Roman" w:cs="Times New Roman"/>
        </w:rPr>
        <w:t>) distribution, a relative frequency (</w:t>
      </w:r>
      <w:proofErr w:type="spellStart"/>
      <w:r w:rsidRPr="00F5134A">
        <w:rPr>
          <w:rFonts w:ascii="Times New Roman" w:hAnsi="Times New Roman" w:cs="Times New Roman"/>
        </w:rPr>
        <w:t>rf</w:t>
      </w:r>
      <w:proofErr w:type="spellEnd"/>
      <w:r w:rsidRPr="00F5134A">
        <w:rPr>
          <w:rFonts w:ascii="Times New Roman" w:hAnsi="Times New Roman" w:cs="Times New Roman"/>
        </w:rPr>
        <w:t>(%)) distribution and a cumulative relative frequency (</w:t>
      </w:r>
      <w:proofErr w:type="spellStart"/>
      <w:r w:rsidRPr="00F5134A">
        <w:rPr>
          <w:rFonts w:ascii="Times New Roman" w:hAnsi="Times New Roman" w:cs="Times New Roman"/>
        </w:rPr>
        <w:t>crf</w:t>
      </w:r>
      <w:proofErr w:type="spellEnd"/>
      <w:r w:rsidRPr="00F5134A">
        <w:rPr>
          <w:rFonts w:ascii="Times New Roman" w:hAnsi="Times New Roman" w:cs="Times New Roman"/>
        </w:rPr>
        <w:t xml:space="preserve">(%)) distribution (in the one table). Round all </w:t>
      </w:r>
      <w:proofErr w:type="spellStart"/>
      <w:r w:rsidRPr="00F5134A">
        <w:rPr>
          <w:rFonts w:ascii="Times New Roman" w:hAnsi="Times New Roman" w:cs="Times New Roman"/>
        </w:rPr>
        <w:t>rf</w:t>
      </w:r>
      <w:proofErr w:type="spellEnd"/>
      <w:r w:rsidRPr="00F5134A">
        <w:rPr>
          <w:rFonts w:ascii="Times New Roman" w:hAnsi="Times New Roman" w:cs="Times New Roman"/>
        </w:rPr>
        <w:t xml:space="preserve">(%) and </w:t>
      </w:r>
      <w:proofErr w:type="spellStart"/>
      <w:r w:rsidRPr="00F5134A">
        <w:rPr>
          <w:rFonts w:ascii="Times New Roman" w:hAnsi="Times New Roman" w:cs="Times New Roman"/>
        </w:rPr>
        <w:t>crf</w:t>
      </w:r>
      <w:proofErr w:type="spellEnd"/>
      <w:r w:rsidRPr="00F5134A">
        <w:rPr>
          <w:rFonts w:ascii="Times New Roman" w:hAnsi="Times New Roman" w:cs="Times New Roman"/>
        </w:rPr>
        <w:t xml:space="preserve">(%) values in the above table to one decimal place. </w:t>
      </w:r>
    </w:p>
    <w:p w:rsidR="00F5134A" w:rsidRPr="00F5134A" w:rsidRDefault="00F5134A" w:rsidP="00F5134A">
      <w:pPr>
        <w:pStyle w:val="Default"/>
        <w:rPr>
          <w:rFonts w:ascii="Times New Roman" w:hAnsi="Times New Roman" w:cs="Times New Roman"/>
        </w:rPr>
      </w:pPr>
    </w:p>
    <w:p w:rsidR="00F5134A" w:rsidRPr="00F5134A" w:rsidRDefault="00F5134A" w:rsidP="00F5134A">
      <w:pPr>
        <w:pStyle w:val="Default"/>
        <w:rPr>
          <w:rFonts w:ascii="Times New Roman" w:hAnsi="Times New Roman" w:cs="Times New Roman"/>
        </w:rPr>
      </w:pPr>
      <w:r w:rsidRPr="00F5134A">
        <w:rPr>
          <w:rFonts w:ascii="Times New Roman" w:hAnsi="Times New Roman" w:cs="Times New Roman"/>
        </w:rPr>
        <w:t xml:space="preserve">5. Perform the routine totalling checks of the frequency and relative frequency (%) columns of the table constructed in Q3 and 4 to obtain some confirmation that your calculations have </w:t>
      </w:r>
      <w:r w:rsidRPr="00F5134A">
        <w:rPr>
          <w:rFonts w:ascii="Times New Roman" w:hAnsi="Times New Roman" w:cs="Times New Roman"/>
        </w:rPr>
        <w:lastRenderedPageBreak/>
        <w:t xml:space="preserve">been performed appropriately in each case. Explain any discrepancies from what you expected in each case in these two checks. </w:t>
      </w:r>
    </w:p>
    <w:p w:rsidR="00F5134A" w:rsidRPr="00F5134A" w:rsidRDefault="00F5134A" w:rsidP="00F5134A">
      <w:pPr>
        <w:pStyle w:val="Default"/>
        <w:rPr>
          <w:rFonts w:ascii="Times New Roman" w:hAnsi="Times New Roman" w:cs="Times New Roman"/>
        </w:rPr>
      </w:pPr>
      <w:r w:rsidRPr="00F5134A">
        <w:rPr>
          <w:rFonts w:ascii="Times New Roman" w:hAnsi="Times New Roman" w:cs="Times New Roman"/>
        </w:rPr>
        <w:t xml:space="preserve">6. Perform a routine check of the last value of the </w:t>
      </w:r>
      <w:proofErr w:type="spellStart"/>
      <w:r w:rsidRPr="00F5134A">
        <w:rPr>
          <w:rFonts w:ascii="Times New Roman" w:hAnsi="Times New Roman" w:cs="Times New Roman"/>
        </w:rPr>
        <w:t>cf</w:t>
      </w:r>
      <w:proofErr w:type="spellEnd"/>
      <w:r w:rsidRPr="00F5134A">
        <w:rPr>
          <w:rFonts w:ascii="Times New Roman" w:hAnsi="Times New Roman" w:cs="Times New Roman"/>
        </w:rPr>
        <w:t xml:space="preserve"> and </w:t>
      </w:r>
      <w:proofErr w:type="spellStart"/>
      <w:r w:rsidRPr="00F5134A">
        <w:rPr>
          <w:rFonts w:ascii="Times New Roman" w:hAnsi="Times New Roman" w:cs="Times New Roman"/>
        </w:rPr>
        <w:t>crf</w:t>
      </w:r>
      <w:proofErr w:type="spellEnd"/>
      <w:r w:rsidRPr="00F5134A">
        <w:rPr>
          <w:rFonts w:ascii="Times New Roman" w:hAnsi="Times New Roman" w:cs="Times New Roman"/>
        </w:rPr>
        <w:t xml:space="preserve">(%) columns of the table constructed in Q4 to obtain some confirmation that your calculations have been performed appropriately in each case. Explain any discrepancies from what you expected in each case in these two checks. </w:t>
      </w:r>
    </w:p>
    <w:p w:rsidR="00F5134A" w:rsidRPr="00F5134A" w:rsidRDefault="00F5134A" w:rsidP="00F5134A">
      <w:pPr>
        <w:pStyle w:val="Default"/>
        <w:rPr>
          <w:rFonts w:ascii="Times New Roman" w:hAnsi="Times New Roman" w:cs="Times New Roman"/>
        </w:rPr>
      </w:pPr>
    </w:p>
    <w:p w:rsidR="00F5134A" w:rsidRPr="00F5134A" w:rsidRDefault="00F5134A" w:rsidP="00F5134A">
      <w:pPr>
        <w:pStyle w:val="Default"/>
        <w:rPr>
          <w:rFonts w:ascii="Times New Roman" w:hAnsi="Times New Roman" w:cs="Times New Roman"/>
        </w:rPr>
      </w:pPr>
      <w:r w:rsidRPr="00F5134A">
        <w:rPr>
          <w:rFonts w:ascii="Times New Roman" w:hAnsi="Times New Roman" w:cs="Times New Roman"/>
        </w:rPr>
        <w:t xml:space="preserve">7. Use an appropriate distribution/table/column constructed in Q3 and 4 to determine: </w:t>
      </w:r>
    </w:p>
    <w:p w:rsidR="00F5134A" w:rsidRPr="00F5134A" w:rsidRDefault="00F5134A" w:rsidP="00F5134A">
      <w:pPr>
        <w:pStyle w:val="Default"/>
        <w:rPr>
          <w:rFonts w:ascii="Times New Roman" w:hAnsi="Times New Roman" w:cs="Times New Roman"/>
        </w:rPr>
      </w:pPr>
      <w:r w:rsidRPr="00F5134A">
        <w:rPr>
          <w:rFonts w:ascii="Times New Roman" w:hAnsi="Times New Roman" w:cs="Times New Roman"/>
        </w:rPr>
        <w:t xml:space="preserve">(a) The number of mobile phone users in the sample who had “bill shocks” of between $400 and not quite $500. </w:t>
      </w:r>
    </w:p>
    <w:p w:rsidR="00F5134A" w:rsidRPr="00F5134A" w:rsidRDefault="00F5134A" w:rsidP="00F5134A">
      <w:pPr>
        <w:pStyle w:val="Default"/>
        <w:rPr>
          <w:rFonts w:ascii="Times New Roman" w:hAnsi="Times New Roman" w:cs="Times New Roman"/>
        </w:rPr>
      </w:pPr>
      <w:r w:rsidRPr="00F5134A">
        <w:rPr>
          <w:rFonts w:ascii="Times New Roman" w:hAnsi="Times New Roman" w:cs="Times New Roman"/>
        </w:rPr>
        <w:t xml:space="preserve">(b) The number of mobile phone users in the sample who had “bill shocks” of less than $500. </w:t>
      </w:r>
    </w:p>
    <w:p w:rsidR="00F5134A" w:rsidRPr="00F5134A" w:rsidRDefault="00F5134A" w:rsidP="00F5134A">
      <w:pPr>
        <w:pStyle w:val="Default"/>
        <w:rPr>
          <w:rFonts w:ascii="Times New Roman" w:hAnsi="Times New Roman" w:cs="Times New Roman"/>
        </w:rPr>
      </w:pPr>
      <w:r w:rsidRPr="00F5134A">
        <w:rPr>
          <w:rFonts w:ascii="Times New Roman" w:hAnsi="Times New Roman" w:cs="Times New Roman"/>
        </w:rPr>
        <w:t xml:space="preserve">(c) The percentage of mobile phone users in the sample who had “bill shocks” of between $400 and not quite $500. </w:t>
      </w:r>
    </w:p>
    <w:p w:rsidR="00F5134A" w:rsidRPr="00F5134A" w:rsidRDefault="00F5134A" w:rsidP="00F5134A">
      <w:pPr>
        <w:pStyle w:val="Default"/>
        <w:rPr>
          <w:rFonts w:ascii="Times New Roman" w:hAnsi="Times New Roman" w:cs="Times New Roman"/>
        </w:rPr>
      </w:pPr>
      <w:r w:rsidRPr="00F5134A">
        <w:rPr>
          <w:rFonts w:ascii="Times New Roman" w:hAnsi="Times New Roman" w:cs="Times New Roman"/>
        </w:rPr>
        <w:t xml:space="preserve">(d) The proportion of mobile phone users in the sample who had “bill shocks” of less than $500. </w:t>
      </w:r>
    </w:p>
    <w:p w:rsidR="00F5134A" w:rsidRPr="00F5134A" w:rsidRDefault="00F5134A" w:rsidP="00F5134A">
      <w:pPr>
        <w:pStyle w:val="Default"/>
        <w:rPr>
          <w:rFonts w:ascii="Times New Roman" w:hAnsi="Times New Roman" w:cs="Times New Roman"/>
        </w:rPr>
      </w:pPr>
    </w:p>
    <w:p w:rsidR="00F5134A" w:rsidRPr="00F5134A" w:rsidRDefault="00F5134A" w:rsidP="00F5134A">
      <w:pPr>
        <w:pStyle w:val="Default"/>
        <w:rPr>
          <w:rFonts w:ascii="Times New Roman" w:hAnsi="Times New Roman" w:cs="Times New Roman"/>
        </w:rPr>
      </w:pPr>
      <w:r w:rsidRPr="00F5134A">
        <w:rPr>
          <w:rFonts w:ascii="Times New Roman" w:hAnsi="Times New Roman" w:cs="Times New Roman"/>
        </w:rPr>
        <w:t xml:space="preserve">8. State the distribution/table/column (f, </w:t>
      </w:r>
      <w:proofErr w:type="spellStart"/>
      <w:r w:rsidRPr="00F5134A">
        <w:rPr>
          <w:rFonts w:ascii="Times New Roman" w:hAnsi="Times New Roman" w:cs="Times New Roman"/>
        </w:rPr>
        <w:t>cf</w:t>
      </w:r>
      <w:proofErr w:type="spellEnd"/>
      <w:r w:rsidRPr="00F5134A">
        <w:rPr>
          <w:rFonts w:ascii="Times New Roman" w:hAnsi="Times New Roman" w:cs="Times New Roman"/>
        </w:rPr>
        <w:t xml:space="preserve">, </w:t>
      </w:r>
      <w:proofErr w:type="spellStart"/>
      <w:r w:rsidRPr="00F5134A">
        <w:rPr>
          <w:rFonts w:ascii="Times New Roman" w:hAnsi="Times New Roman" w:cs="Times New Roman"/>
        </w:rPr>
        <w:t>rf</w:t>
      </w:r>
      <w:proofErr w:type="spellEnd"/>
      <w:r w:rsidRPr="00F5134A">
        <w:rPr>
          <w:rFonts w:ascii="Times New Roman" w:hAnsi="Times New Roman" w:cs="Times New Roman"/>
        </w:rPr>
        <w:t xml:space="preserve">(%), </w:t>
      </w:r>
      <w:proofErr w:type="spellStart"/>
      <w:r w:rsidRPr="00F5134A">
        <w:rPr>
          <w:rFonts w:ascii="Times New Roman" w:hAnsi="Times New Roman" w:cs="Times New Roman"/>
        </w:rPr>
        <w:t>crf</w:t>
      </w:r>
      <w:proofErr w:type="spellEnd"/>
      <w:r w:rsidRPr="00F5134A">
        <w:rPr>
          <w:rFonts w:ascii="Times New Roman" w:hAnsi="Times New Roman" w:cs="Times New Roman"/>
        </w:rPr>
        <w:t xml:space="preserve">(%)) used to obtain your answers to (a) – (d) in Q7. Make sure you check your answers to this question to ensure that you have used the most appropriate distribution/table/column to obtain your answers particularly for (c) and (d). </w:t>
      </w:r>
    </w:p>
    <w:p w:rsidR="00F5134A" w:rsidRPr="00F5134A" w:rsidRDefault="00F5134A" w:rsidP="00F5134A">
      <w:pPr>
        <w:pStyle w:val="Default"/>
        <w:rPr>
          <w:rFonts w:ascii="Times New Roman" w:hAnsi="Times New Roman" w:cs="Times New Roman"/>
        </w:rPr>
      </w:pPr>
    </w:p>
    <w:p w:rsidR="00F5134A" w:rsidRPr="00F5134A" w:rsidRDefault="00F5134A" w:rsidP="00F5134A">
      <w:pPr>
        <w:pStyle w:val="Default"/>
        <w:rPr>
          <w:rFonts w:ascii="Times New Roman" w:hAnsi="Times New Roman" w:cs="Times New Roman"/>
        </w:rPr>
      </w:pPr>
      <w:r w:rsidRPr="00F5134A">
        <w:rPr>
          <w:rFonts w:ascii="Times New Roman" w:hAnsi="Times New Roman" w:cs="Times New Roman"/>
        </w:rPr>
        <w:t xml:space="preserve">9. Comment on the tendency of the “bill shock” sample data to cluster/concentrate (or not) about a particular interval. </w:t>
      </w:r>
    </w:p>
    <w:p w:rsidR="00F5134A" w:rsidRPr="00F5134A" w:rsidRDefault="00F5134A" w:rsidP="00F5134A">
      <w:pPr>
        <w:pStyle w:val="Default"/>
        <w:rPr>
          <w:rFonts w:ascii="Times New Roman" w:hAnsi="Times New Roman" w:cs="Times New Roman"/>
        </w:rPr>
      </w:pPr>
    </w:p>
    <w:p w:rsidR="00F5134A" w:rsidRPr="00F5134A" w:rsidRDefault="00F5134A" w:rsidP="00F5134A">
      <w:pPr>
        <w:pStyle w:val="Default"/>
        <w:rPr>
          <w:rFonts w:ascii="Times New Roman" w:hAnsi="Times New Roman" w:cs="Times New Roman"/>
        </w:rPr>
      </w:pPr>
      <w:r w:rsidRPr="00F5134A">
        <w:rPr>
          <w:rFonts w:ascii="Times New Roman" w:hAnsi="Times New Roman" w:cs="Times New Roman"/>
        </w:rPr>
        <w:t xml:space="preserve">10. Use the frequency distribution/table constructed in Q3 to manually develop a graphical representation of the “bill shock” data in the form of a frequency histogram. In developing your graph make sure you clearly label both axes, you use a consistent scale on both axes and that the columns of your histogram do not have any gaps between them (unless the gap represents a column of zero frequency). </w:t>
      </w:r>
    </w:p>
    <w:p w:rsidR="00F5134A" w:rsidRPr="00F5134A" w:rsidRDefault="00F5134A" w:rsidP="00F5134A">
      <w:pPr>
        <w:pStyle w:val="Default"/>
        <w:rPr>
          <w:rFonts w:ascii="Times New Roman" w:hAnsi="Times New Roman" w:cs="Times New Roman"/>
        </w:rPr>
      </w:pPr>
    </w:p>
    <w:p w:rsidR="00F5134A" w:rsidRPr="00F5134A" w:rsidRDefault="00F5134A" w:rsidP="00F5134A">
      <w:pPr>
        <w:pStyle w:val="Default"/>
        <w:rPr>
          <w:rFonts w:ascii="Times New Roman" w:hAnsi="Times New Roman" w:cs="Times New Roman"/>
        </w:rPr>
      </w:pPr>
      <w:r w:rsidRPr="00F5134A">
        <w:rPr>
          <w:rFonts w:ascii="Times New Roman" w:hAnsi="Times New Roman" w:cs="Times New Roman"/>
        </w:rPr>
        <w:t xml:space="preserve">11. Use the relative frequency (%) distribution/table/column constructed in Q4 to manually develop a graphical representation of the “bill shock” data in the form of a relative frequency (%) histogram. In developing your graph make sure you clearly label both axes, you use a consistent scale on both axes and that the columns of your histogram do not have any gaps between them (unless the gap represents a column of zero relative frequency). </w:t>
      </w:r>
    </w:p>
    <w:p w:rsidR="00F5134A" w:rsidRPr="00F5134A" w:rsidRDefault="00F5134A" w:rsidP="00F5134A">
      <w:pPr>
        <w:pStyle w:val="Default"/>
        <w:rPr>
          <w:rFonts w:ascii="Times New Roman" w:hAnsi="Times New Roman" w:cs="Times New Roman"/>
        </w:rPr>
      </w:pPr>
    </w:p>
    <w:p w:rsidR="00F5134A" w:rsidRPr="00F5134A" w:rsidRDefault="00F5134A" w:rsidP="00F5134A">
      <w:pPr>
        <w:pStyle w:val="Default"/>
        <w:rPr>
          <w:rFonts w:ascii="Times New Roman" w:hAnsi="Times New Roman" w:cs="Times New Roman"/>
        </w:rPr>
      </w:pPr>
      <w:r w:rsidRPr="00F5134A">
        <w:rPr>
          <w:rFonts w:ascii="Times New Roman" w:hAnsi="Times New Roman" w:cs="Times New Roman"/>
        </w:rPr>
        <w:t xml:space="preserve">12. Compare the appearances of the two graphs constructed in Q10 and 11. How would you identify any tendency of the “bill shock” sample data to cluster/concentrate (or not) about a particular interval from either of these two graphs? </w:t>
      </w:r>
    </w:p>
    <w:p w:rsidR="00F5134A" w:rsidRPr="00F5134A" w:rsidRDefault="00F5134A" w:rsidP="00F5134A">
      <w:pPr>
        <w:rPr>
          <w:rFonts w:ascii="Times New Roman" w:hAnsi="Times New Roman" w:cs="Times New Roman"/>
          <w:sz w:val="24"/>
          <w:szCs w:val="24"/>
        </w:rPr>
      </w:pPr>
    </w:p>
    <w:p w:rsidR="00F5134A" w:rsidRPr="00F5134A" w:rsidRDefault="00F5134A" w:rsidP="00F5134A">
      <w:pPr>
        <w:rPr>
          <w:rFonts w:ascii="Times New Roman" w:hAnsi="Times New Roman" w:cs="Times New Roman"/>
          <w:sz w:val="24"/>
          <w:szCs w:val="24"/>
        </w:rPr>
      </w:pPr>
      <w:r w:rsidRPr="00F5134A">
        <w:rPr>
          <w:rFonts w:ascii="Times New Roman" w:hAnsi="Times New Roman" w:cs="Times New Roman"/>
          <w:sz w:val="24"/>
          <w:szCs w:val="24"/>
        </w:rPr>
        <w:t>13. How might you attempt to describe the variability of the sample data from either of the two graphs constructed in Q10 and 11?</w:t>
      </w:r>
    </w:p>
    <w:sectPr w:rsidR="00F5134A" w:rsidRPr="00F5134A" w:rsidSect="008B2BA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F5134A"/>
    <w:rsid w:val="000D45C5"/>
    <w:rsid w:val="003A2872"/>
    <w:rsid w:val="00473E51"/>
    <w:rsid w:val="008B2BA9"/>
    <w:rsid w:val="00A659D3"/>
    <w:rsid w:val="00F5134A"/>
    <w:rsid w:val="00F53D6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3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741</Words>
  <Characters>4224</Characters>
  <Application>Microsoft Office Word</Application>
  <DocSecurity>0</DocSecurity>
  <Lines>35</Lines>
  <Paragraphs>9</Paragraphs>
  <ScaleCrop>false</ScaleCrop>
  <Company>Grizli777</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2017-02-23T00:58:00Z</dcterms:created>
  <dcterms:modified xsi:type="dcterms:W3CDTF">2017-02-23T03:42:00Z</dcterms:modified>
</cp:coreProperties>
</file>